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r7fg53a97oq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8twquwx0pxfa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UNA SETTIMANA DI GRANDI EVENTI PER RIVA DEL GARDA FIERECONGRESSI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81j8wony5a6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s7hzsyw60zex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è chiusa una settimana intensa e ricca di appuntamenti per Riva del Garda Fierecongressi, con tutte le sedi coinvolte in eventi di rilievo, tra formazione, innovazione, sport e incontri professionali di respiro internazionale.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rrcvk781b1d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Dall’1 al 3 aprile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Palavela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Centro Congressi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 ospitato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XIV edizione della Fiera Internazionale delle Imprese Simulate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promossa da UPT - Scuola delle Professioni per il Terziario e dalla Centrale Nazionale di Simulazione. Un appuntamento formativo di grande valore, focalizzato sull’imprenditoria giovanile e basato sul metodo del learning by doing, che consente agli studenti di apprendere attraverso l’esperienza diretta. Oltre mille studenti hanno partecipato all’evento, provenienti da tutta Italia e dall’estero, tra cui 110 giovani dell’UPT di Arco e delle sue sedi e 50 studenti da Austria e Spagna. La manifestazione ha visto la presenza di 75 imprese simulate, 80 docenti e accompagnatori e numerose aziende internazionali, che hanno creato un contesto di apprendimento vivace e multiculturale.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rrcvk781b1d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parallelo,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Centro 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Spiaggia Olivi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hanno accolto importanti incontri del settore farmaceutico, con gli eventi organizzati dalle aziende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Chiesi Farmaceutici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Boehringer Ingelheim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hanno scelto le sedi per momenti di aggiornamento, confronto professionale e networking.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rrcvk781b1d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Sempre a Riva del Garda, grande partecipazione anche per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X-Bionic Lake Garda 42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dal 4 al 6 aprile ha utilizzato nuovamente il Palavela quale sede dell’Expo Area per maratona e mezza maratona, organizzate da COMMUNICO Italia SSD a RL. L’evento sportivo, giunto alla quarta edizione, ha registrato un vero successo con oltre 4.200 atleti al via, in rappresentanza di oltre 60 Paesi di tutti i continenti.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73d1aj3ngx9v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 da meno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ITAS Forum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 Trento, che ha ospitato nelle stesse giornate tre eventi di rilievo, confermandosi una sede strategica per l’intero sistema fieristico e congressuale.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rrcvk781b1d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"Un’altra settimana di grandi successi che conferma la dinamicità e la versatilità delle nostre strutture, sempre pronte ad ospitare gli eventi con la massima professionalità e un servizio di alta qualità"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ha dichiarato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Renata Farina, Congress Manager di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66rerxnvpn0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s7hzsyw60zex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7 aprile 2025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